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400"/>
      </w:pPr>
      <w:r>
        <w:t xml:space="preserve"/>
      </w:r>
    </w:p>
    <w:p>
      <w:pPr>
        <w:spacing w:after="80"/>
        <w:jc w:val="left"/>
      </w:pPr>
      <w:r>
        <w:rPr>
          <w:b/>
          <w:bCs/>
          <w:color w:val="1A4D7A"/>
          <w:sz w:val="22"/>
          <w:szCs w:val="22"/>
        </w:rPr>
        <w:t xml:space="preserve">GUIDA 2026</w:t>
      </w:r>
    </w:p>
    <w:p>
      <w:pPr>
        <w:spacing w:after="120"/>
        <w:jc w:val="left"/>
      </w:pPr>
      <w:r>
        <w:rPr>
          <w:b/>
          <w:bCs/>
          <w:sz w:val="60"/>
          <w:szCs w:val="60"/>
        </w:rPr>
        <w:t xml:space="preserve">8 esempi di policy retributive</w:t>
      </w:r>
    </w:p>
    <w:p>
      <w:pPr>
        <w:spacing w:after="600"/>
        <w:jc w:val="left"/>
      </w:pPr>
      <w:r>
        <w:rPr>
          <w:color w:val="555555"/>
          <w:sz w:val="28"/>
          <w:szCs w:val="28"/>
        </w:rPr>
        <w:t xml:space="preserve">Modelli, criteri e errori da evitare per PMI italiane</w:t>
      </w:r>
    </w:p>
    <w:p>
      <w:pPr>
        <w:pBdr>
          <w:bottom w:val="single" w:color="1A4D7A" w:sz="8" w:space="1"/>
        </w:pBdr>
        <w:spacing w:after="200" w:before="60"/>
      </w:pPr>
      <w:r>
        <w:t xml:space="preserve"/>
      </w:r>
    </w:p>
    <w:p>
      <w:pPr>
        <w:spacing w:after="80" w:before="240"/>
      </w:pPr>
      <w:r>
        <w:rPr>
          <w:color w:val="555555"/>
          <w:sz w:val="22"/>
          <w:szCs w:val="22"/>
        </w:rPr>
        <w:t xml:space="preserve">A cura di Spark</w:t>
      </w:r>
    </w:p>
    <w:p>
      <w:pPr>
        <w:spacing w:after="0"/>
      </w:pPr>
      <w:r>
        <w:rPr>
          <w:color w:val="555555"/>
          <w:sz w:val="22"/>
          <w:szCs w:val="22"/>
        </w:rPr>
        <w:t xml:space="preserve">tryspark.co</w:t>
      </w:r>
    </w:p>
    <w:p>
      <w:pPr>
        <w:pStyle w:val="Heading1"/>
        <w:pageBreakBefore/>
        <w:spacing w:after="200"/>
      </w:pPr>
      <w:r>
        <w:t xml:space="preserve">Perché una policy retributiva</w:t>
      </w:r>
    </w:p>
    <w:p>
      <w:pPr>
        <w:spacing w:after="120" w:line="300"/>
      </w:pPr>
      <w:r>
        <w:t xml:space="preserve">La maggior parte delle PMI italiane retribuisce per inerzia. La RAL si forma in fase di assunzione, poi cresce per pressione: una controfferta, un trasferimento mancato, un anno di particolare engagement. Quando l'azienda passa dalle 30 alle 80 persone, il sistema implode.</w:t>
      </w:r>
    </w:p>
    <w:p>
      <w:pPr>
        <w:spacing w:after="120" w:line="300"/>
      </w:pPr>
      <w:r>
        <w:t xml:space="preserve">La policy retributiva non serve a togliere libertà al management. Serve a rispondere senza imbarazzo a tre domande: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Perché Marco prende 4.500 € e Giulia, sullo stesso ruolo, ne prende 5.200?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Cosa serve concretamente a Luca per arrivare al livello successivo?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Come decidiamo gli aumenti senza far dipendere tutto dalla forza negoziale del singolo?</w:t>
      </w:r>
    </w:p>
    <w:p>
      <w:pPr>
        <w:spacing w:after="120" w:line="300"/>
      </w:pPr>
      <w:r>
        <w:t xml:space="preserve">Senza queste risposte, l'azienda accumula debito retributivo invisibile: persone sottopagate che tengono duro fino a quando non trovano altro, e persone sovrapagate che non si possono toccare. Quando la prima ondata di dimissioni arriva, è sempre tardi.</w:t>
      </w:r>
    </w:p>
    <w:p>
      <w:pPr>
        <w:spacing w:after="160" w:before="60" w:line="320"/>
      </w:pPr>
      <w:r>
        <w:t xml:space="preserve">Questa guida raccoglie 8 modelli archetipici. Non sono alternative l'uno all'altro: una policy matura ne combina diversi. Per ogni modello trovi quando usarlo, come strutturarlo, un esempio concreto e gli errori che vediamo più spesso.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Cosa questa guida non è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Non è un benchmark salariale. I numeri negli esempi sono illustrativi e vanno calibrati sui dati di mercato del tuo settore.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Non è consulenza legale né fiscale. Sulle materie regolate (welfare ex art. 51 TUIR, direttiva UE 2023/970 sulla trasparenza retributiva) consulta sempre un professionista.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Non è un manuale di compensation per multinazionali. Il taglio è quello che serve a una PMI italiana tra le 30 e le 300 persone.</w:t>
      </w:r>
    </w:p>
    <w:p>
      <w:pPr>
        <w:pStyle w:val="Heading1"/>
        <w:pageBreakBefore/>
        <w:spacing w:after="200"/>
      </w:pPr>
      <w:r>
        <w:t xml:space="preserve">Come è strutturata la guida</w:t>
      </w:r>
    </w:p>
    <w:p>
      <w:pPr>
        <w:spacing w:after="120" w:line="300"/>
      </w:pPr>
      <w:r>
        <w:t xml:space="preserve">Ogni policy è presentata con la stessa struttura, per facilitare il confronto: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In sintesi. </w:t>
      </w:r>
      <w:r>
        <w:t xml:space="preserve">Una riga che riassume il modello.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Quando usarla. </w:t>
      </w:r>
      <w:r>
        <w:t xml:space="preserve">Le condizioni aziendali in cui ha senso applicarla.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Come strutturarla. </w:t>
      </w:r>
      <w:r>
        <w:t xml:space="preserve">I componenti chiave e le scelte di disegno.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Esempio concreto. </w:t>
      </w:r>
      <w:r>
        <w:t xml:space="preserve">Numeri illustrativi su un caso aziendale tipico.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Errori da evitare. </w:t>
      </w:r>
      <w:r>
        <w:t xml:space="preserve">Le cause di fallimento più frequenti.</w:t>
      </w:r>
    </w:p>
    <w:p>
      <w:pPr>
        <w:spacing w:after="120" w:line="300"/>
      </w:pPr>
      <w:r>
        <w:t xml:space="preserve"> 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Indice</w:t>
      </w:r>
    </w:p>
    <w:p>
      <w:pPr>
        <w:spacing w:after="80"/>
      </w:pPr>
      <w:r>
        <w:t xml:space="preserve">1. Fasce retributive per ruolo e livello</w:t>
      </w:r>
    </w:p>
    <w:p>
      <w:pPr>
        <w:spacing w:after="80"/>
      </w:pPr>
      <w:r>
        <w:t xml:space="preserve">2. Variabile su obiettivi (MBO)</w:t>
      </w:r>
    </w:p>
    <w:p>
      <w:pPr>
        <w:spacing w:after="80"/>
      </w:pPr>
      <w:r>
        <w:t xml:space="preserve">3. Aumenti per merito (pay for performance)</w:t>
      </w:r>
    </w:p>
    <w:p>
      <w:pPr>
        <w:spacing w:after="80"/>
      </w:pPr>
      <w:r>
        <w:t xml:space="preserve">4. Retribuzione per competenze (skill-based pay)</w:t>
      </w:r>
    </w:p>
    <w:p>
      <w:pPr>
        <w:spacing w:after="80"/>
      </w:pPr>
      <w:r>
        <w:t xml:space="preserve">5. Welfare aziendale come leva retributiva</w:t>
      </w:r>
    </w:p>
    <w:p>
      <w:pPr>
        <w:spacing w:after="80"/>
      </w:pPr>
      <w:r>
        <w:t xml:space="preserve">6. Trasparenza retributiva e direttiva UE 2023/970</w:t>
      </w:r>
    </w:p>
    <w:p>
      <w:pPr>
        <w:spacing w:after="80"/>
      </w:pPr>
      <w:r>
        <w:t xml:space="preserve">7. Sales commission plan</w:t>
      </w:r>
    </w:p>
    <w:p>
      <w:pPr>
        <w:spacing w:after="80"/>
      </w:pPr>
      <w:r>
        <w:t xml:space="preserve">8. Retribuzione e geografia (remote / multi-sede)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1. Fasce retributive per ruolo e livello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Si definiscono livelli organizzativi e per ogni livello una banda retributiva (min, mid, max). I ruoli vengono mappati a un livello, e ogni assunzione o aumento avviene dentro la banda corrispondente.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È il punto di partenza di qualsiasi policy retributiva strutturata. Diventa necessaria quando l'azienda ha ruoli ripetuti (più sviluppatori, più commerciali, più operatori) e quando il numero di persone supera la soglia in cui il fondatore riesce a decidere caso per caso senza generare disparità.</w:t>
      </w:r>
    </w:p>
    <w:p>
      <w:pPr>
        <w:spacing w:after="120" w:line="300"/>
      </w:pPr>
      <w:r>
        <w:t xml:space="preserve">Sotto le 30 persone è spesso sovradimensionata. Sopra le 40-50 è ormai indispensabile.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4-7 livelli organizzativi (es. Junior, Standard, Senior, Lead, Principal). Più livelli generano granularità ma anche complessità.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Per ogni livello, fissare una banda: min, mid, max. Il mid corrisponde tipicamente al dato di mercato per quel livello/ruolo; min è 15-20% sotto, max è 15-20% sopra.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Mappare ogni ruolo dell'organizzazione a un livello. Non a una persona: a un ruolo.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Scrivere i criteri di progressione tra livelli (cosa deve dimostrare una persona per passare da L2 a L3).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Aggiornare le bande almeno una volta all'anno con dati di mercato e inflazione.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Area Tech, PMI italiana 80 persone. Banda di riferimento in RAL annua lorda:</w:t>
      </w:r>
    </w:p>
    <w:tbl>
      <w:tblPr>
        <w:tblW w:type="dxa" w:w="8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900"/>
        <w:gridCol w:w="1500"/>
        <w:gridCol w:w="1500"/>
        <w:gridCol w:w="150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Livello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Ruolo tipo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Min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Mid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Max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L1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Junior Developer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28.000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32.000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36.000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L2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Developer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35.000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42.000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50.000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L3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Senior Developer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48.000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58.000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68.000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L4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Lead Developer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60.000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72.000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85.000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L5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Principal / Engineering Mgr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75.000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90.000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110.000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I numeri sono illustrativi. Il dato che conta è la struttura: cinque livelli, ampiezza coerente, sovrapposizione tra livelli adiacenti (un L2 esperto può guadagnare quanto un L3 entry).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Bande troppo strette: se min e max sono ravvicinati, non c'è spazio per gestire merit increase pluriennali.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Bande non sovrapposte tra livelli adiacenti: forza promozioni innaturali per dare aumenti.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Bande pubblicate senza criteri di progressione: generano frustrazione e ricorsi ("perché lui sì e io no?").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Mancata revisione annuale: in periodi di inflazione alta, in 24 mesi le bande diventano fuori mercato.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2. Variabile su obiettivi (MBO)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Una quota della retribuzione totale annua è legata al raggiungimento di obiettivi misurabili, definiti a inizio anno e verificati a chiusura. La parte fissa è garantita; la parte variabile dipende dalla performance.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Per tutti i ruoli che hanno output misurabili o obiettivi qualitativi formalizzabili: management, ruoli operativi con KPI, project manager, area marketing, R&amp;D.</w:t>
      </w:r>
    </w:p>
    <w:p>
      <w:pPr>
        <w:spacing w:after="120" w:line="300"/>
      </w:pPr>
      <w:r>
        <w:t xml:space="preserve">Funziona solo se l'azienda ha già una cultura di pianificazione: budget, OKR o MBO scritti, revisione periodica. Senza questo terreno, gli obiettivi vengono percepiti come arbitrari.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Percentuale di variabile sulla RAL: 10-15% per ruoli operativi, 15-25% per middle management, 25-40% per direzione e ruoli commerciali.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Mix di obiettivi: una combinazione di individuali, di team e aziendali. Una distribuzione tipica è 50% individuali, 30% di team, 20% aziendali.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Pesi degli obiettivi: massimo 4-5 obiettivi per persona, ciascuno con un peso esplicito. Sotto il 10% di peso, l'obiettivo è ignorato; sopra il 40%, gli altri diventano irrilevanti.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Soglia di accesso al payout (es. 70% di achievement complessivo) e cap massimo (es. 130%).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Frequenza: annuale è lo standard italiano. Semestrale o trimestrale ha senso per ruoli sales o operations con cicli brevi.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Tracciamento durante l'anno: senza review intermedie (almeno due) il sistema diventa una sorpresa di fine anno.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Responsabile Produzione, RAL 60.000 €, variabile target 15% = 9.000 €. Quattro obiettivi:</w:t>
      </w:r>
    </w:p>
    <w:tbl>
      <w:tblPr>
        <w:tblW w:type="dxa" w:w="8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200"/>
        <w:gridCol w:w="1900"/>
        <w:gridCol w:w="1600"/>
      </w:tblGrid>
      <w:tr>
        <w:trPr>
          <w:tblHeader/>
        </w:trP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Obiettivo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Peso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Achievement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Payout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Efficienza linea (OEE +3pt)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40%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120%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4.320 €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Difettosità (-15%)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25%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100%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2.250 €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Incidenti sicurezza (-50%)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110%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1.980 €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Progetto Lean (consegna)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15%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80%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1.080 €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Achievement medio ponderato: 109%. Payout totale: 9.630 €.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Obiettivi vaghi ("migliorare il clima", "essere proattivi"). Senza criterio di misura sono contestabili in entrambe le direzioni.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Logica tutto-o-niente: payout 0 se manca un punto. Demotiva e spinge a comportamenti opportunistici ("tanto ormai").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Cambio degli obiettivi a metà anno senza ricalcolare i pesi. Mina la credibilità del sistema.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Obiettivi solo individuali: il singolo ottimizza il suo numero a scapito del team.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Comunicazione del payout senza spiegazione dell'achievement. La persona vede solo il numero, non il rationale.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3. Aumenti per merito (pay for performance)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Gli aumenti annuali della RAL sono determinati da una matrice che incrocia il livello di performance individuale con la posizione attuale della persona nella banda retributiva del suo livello.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Per gestire in modo strutturato il merit budget annuale. È utile quando l'azienda ha un sistema di performance management formalizzato e affidabile.</w:t>
      </w:r>
    </w:p>
    <w:p>
      <w:pPr>
        <w:spacing w:after="120" w:line="300"/>
      </w:pPr>
      <w:r>
        <w:t xml:space="preserve">Senza un performance management serio, la matrice diventa un alibi: i manager assegnano "Meets" a tutti per non avere conversazioni difficili, e il sistema collassa.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3 o 5 livelli di performance (es. Under / Meets / Exceeds, oppure 1-5). I 5 livelli danno più granularità ma richiedono calibrazione tra manager.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la posizione nella banda come compa-ratio: rapporto tra RAL attuale e mid della banda. Es. compa-ratio 0.90 = sotto la mid, 1.05 = sopra la mid.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Costruire la matrice: chi performa bene ma è sotto la mid riceve aumenti maggiori (riallineamento); chi è già sopra la mid riceve aumenti contenuti, anche se performa bene (è già pagato bene per il ruolo).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il merit budget annuale (es. 3% del monte salari) e calibrare le percentuali della matrice in modo che il totale rientri nel budget.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Calibrazione cross-manager: prima di comunicare gli aumenti, i manager si confrontano per assicurare coerenza.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Matrice merit increase su budget annuale 3% del monte salari: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300"/>
        <w:gridCol w:w="2400"/>
        <w:gridCol w:w="2300"/>
      </w:tblGrid>
      <w:tr>
        <w:trPr>
          <w:tblHeader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Sotto mid (&lt; 0.95)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In mid (0.95–1.05)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Sopra mid (&gt; 1.05)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Exceeds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6%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4%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2%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Meets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4%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3%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1%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Under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1%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0%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Logica: il sistema sposta budget verso chi performa e ha margine di crescita nella banda. Frena gli aumenti per chi è già pagato sopra il mid market.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Applicarla senza un performance management strutturato: si finisce con tutti "Meets" e la matrice diventa inutile.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Recency bias nella valutazione: l'ultimo trimestre pesa più degli altri tre. Servono review periodiche durante l'anno.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Aumenti comunicati senza il rationale: la persona vede il numero finale, non capisce perché il collega ha avuto di più.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Budget troppo basso (sotto il 2%): nessuna leva reale, gli aumenti diventano gesti simbolici.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Non aggiornare il compa-ratio quando le bande cambiano: ci si trova fuori scala senza accorgersene.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4. Retribuzione per competenze (skill-based pay)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La crescita retributiva è legata all'acquisizione e certificazione di competenze specifiche, non al ruolo o all'anzianità. Più una persona padroneggia competenze rilevanti per l'azienda, più cresce la sua retribuzione.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In ambienti dove la competenza tecnica è il vero asset: sviluppo software, manifattura specializzata, R&amp;D, ruoli di expertise senza linea di carriera manageriale.</w:t>
      </w:r>
    </w:p>
    <w:p>
      <w:pPr>
        <w:spacing w:after="120" w:line="300"/>
      </w:pPr>
      <w:r>
        <w:t xml:space="preserve">Particolarmente utile quando si vuole offrire un percorso di crescita retributiva anche a chi non vuole (o non deve) diventare manager.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la matrice delle competenze rilevanti per area (tecniche, di processo, comportamentali).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Per ogni competenza, definire livelli di padronanza (es. Base, Intermedio, Avanzato, Esperto).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criteri oggettivi di certificazione: corsi superati con esame, progetti consegnati con review, peer assessment da almeno tre valutatori.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Assegnare un incremento retributivo a ogni livello raggiunto. L'incremento può essere fisso (es. +1.500 €/anno) o crescente (più alto sui livelli avanzati).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Stabilire una cadenza di review (es. annuale o semestrale) per certificare nuovi livelli raggiunti.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Sviluppatore software, quattro aree di competenza con quattro livelli ciascuna. Incremento per livello: +1.500 €/anno.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700"/>
        <w:gridCol w:w="1700"/>
        <w:gridCol w:w="370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Area competenza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Livello attuale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Prossimo livello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Criterio di passaggio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Frontend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Avanzato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Esperto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Progetto solo con feedback positivo + peer review (3)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Backend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Intermedio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Avanzato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Refactoring critico + esame tecnico interno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DevOps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Base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Intermedio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Certificazione cloud + setup pipeline produzione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System Design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Avanzato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Esperto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Design review di 2 sistemi + presentazione interna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Range di crescita teorico per uno sviluppatore: da tutto Base a tutto Esperto sono 12 step da 1.500 €, ovvero 18.000 € di crescita strutturale lungo la carriera tecnica.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Certificazioni autoreferenziali: il manager diretto certifica il suo team. Il bias è inevitabile e svuota il sistema.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Criteri di certificazione vaghi: senza esame o output verificabile, la certificazione diventa una formalità.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Matrice di competenze che invecchia: tecnologie superate restano nel sistema e la gente continua a essere pagata per skill non più rilevanti.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Mancanza di un meccanismo di decommissioning: una competenza non più richiesta dall'azienda non può continuare a generare retribuzione aggiuntiva.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5. Welfare aziendale come leva retributiva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Una quota della retribuzione totale viene erogata in beni e servizi welfare (ex art. 51 TUIR) anziché in denaro. Vantaggio fiscale strutturale per azienda e dipendente, percepito come benefit aggiuntivo.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Praticamente in tutte le PMI italiane. Il vantaggio fiscale è significativo: gli importi erogati come welfare ex art. 51 TUIR non concorrono al reddito di lavoro dipendente, entro i limiti previsti dalla normativa, e non generano contributi previdenziali a carico azienda.</w:t>
      </w:r>
    </w:p>
    <w:p>
      <w:pPr>
        <w:spacing w:after="120" w:line="300"/>
      </w:pPr>
      <w:r>
        <w:t xml:space="preserve">Non sfruttare questa leva significa lasciare valore sul tavolo. Va calibrata sulla popolazione aziendale: le esigenze di un team con età media 30 anni sono diverse da quelle di un team con età media 50 anni.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un plafond annuale per dipendente (es. 500 €, 1.000 €, 1.500 €). Può essere uguale per tutti o variabile per livello/anzianità.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Selezionare categorie di spesa coerenti con la popolazione: rimborsi spese di istruzione e asili nido, trasporti, sanità integrativa, previdenza complementare, buoni acquisto (limite ordinario 258,23 €/anno innalzato in via straordinaria in alcuni anni), abbonamenti palestra e cultura.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Adottare una piattaforma di flexible benefits per la scelta del dipendente. La UX della piattaforma è critica: una piattaforma confusa abbatte l'utilizzo.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Considerare la conversione del premio di risultato (PdR) in welfare: il PdR convertito è esente da imposizione fiscale e contributiva nei limiti di legge, mentre erogato come premio cash subisce tassazione agevolata ma non nulla.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Comunicare bene: il welfare non utilizzato è welfare sprecato.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Azienda 80 persone, plafond welfare 1.500 €/anno per dipendente. Confronto con erogazione equivalente in cash: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900"/>
        <w:gridCol w:w="2800"/>
      </w:tblGrid>
      <w:tr>
        <w:trPr>
          <w:tblHeader/>
        </w:trP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Voce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Welfare ex art. 51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Equivalente cash lordo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Costo azienda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1.500 €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circa 2.700 €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Netto in tasca al dipendente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1.500 €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circa 750 €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Contributi previdenziali a carico azienda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0 €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circa 800 €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Vantaggio fiscale-contributivo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100% efficienza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circa 28% efficienza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I valori sono indicativi e dipendono da aliquota IRPEF marginale, CCNL applicato, posizione contributiva. Verifica con il consulente del lavoro.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Piattaforma con UX pessima: utilizzo basso, plafond non speso, percepito come fregatura.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Comunicazione scarsa: la gente non sa che ha un plafond, o non sa come usarlo.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Categorie sbagliate per la popolazione: se la media età è 28 anni, l'asilo nido è marginale; se è 50, lo è la palestra.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Welfare visto come sostituto del cash invece che come leva aggiuntiva: genera frustrazione se la gente lo percepisce come un trucco per pagare meno.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6. Trasparenza retributiva e direttiva UE 2023/970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Comunicazione strutturata delle bande retributive interne, dei criteri di progressione e dei differenziali per genere. La trasparenza retributiva diventerà parzialmente obbligatoria con la trasposizione nei diritti nazionali della Direttiva UE 2023/970.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Quando l'azienda vuole ridurre il rumore informale sulle retribuzioni ("si dice che lui prenda X"), attrarre talenti che richiedono chiarezza già in fase di candidatura, e prepararsi all'adeguamento normativo che sta arrivando.</w:t>
      </w:r>
    </w:p>
    <w:p>
      <w:pPr>
        <w:spacing w:after="120" w:line="300"/>
      </w:pPr>
      <w:r>
        <w:t xml:space="preserve">La direttiva UE 2023/970 sulla pay transparency è stata adottata nel 2023 e deve essere recepita dagli stati membri entro giugno 2026. Anche le aziende sotto soglia conviene si attrezzino per tempo.</w:t>
      </w:r>
    </w:p>
    <w:p>
      <w:pPr>
        <w:pStyle w:val="Heading3"/>
        <w:spacing w:after="120" w:before="280"/>
      </w:pPr>
      <w:r>
        <w:t xml:space="preserve">Cosa prevede la direttiva (sintesi)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Obbligo di indicare la fascia retributiva nelle offerte di lavoro o nei primi colloqui.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Divieto di chiedere al candidato la sua retribuzione attuale.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Diritto del dipendente a richiedere dati su retribuzione media per categoria di ruolo, disaggregati per genere.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Obblighi di reporting sul gender pay gap per aziende sopra soglia, con tempistiche scaglionate per dimensione aziendale.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Inversione dell'onere della prova in caso di contenzioso su discriminazione retributiva.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Divieto di clausole contrattuali che impediscono al dipendente di comunicare la propria retribuzione.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Pubblicare internamente le bande per livello (senza nomi e senza retribuzioni individuali).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Pubblicare i criteri di assegnazione del livello e di progressione tra livelli.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Misurare il gender pay gap e i differenziali tra ruoli equivalenti, indipendentemente da soglie obbligatorie.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Indicare il range retributivo negli annunci di lavoro.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Formare i manager: con la trasparenza arriveranno domande, e non averle preparate è un boomerang.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PMI 120 persone, livelli pubblicati internamente. Per ogni livello viene condiviso: descrizione, criteri di accesso, banda min-mid-max, esempi di ruoli mappati. Non vengono pubblicate le retribuzioni individuali, ma ogni dipendente sa in quale banda si trova e quali sono gli step per accedere al livello successivo.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Trasparenza senza struttura sottostante: pubblicare le bande senza criteri di assegnazione genera caos e ricorsi.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Non preparare i manager: arriveranno domande del tipo "perché io sono al minimo della banda?" che vanno gestite con un rationale credibile.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Comunicare le bande senza spiegare come sono state costruite: la gente le percepisce come arbitrarie.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Ignorare la direttiva pensando di non rientrare nelle soglie: alcuni obblighi (range negli annunci, divieto di chiedere RAL attuale) si applicano a tutti.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7. Sales commission plan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Piano di provvigioni per il team commerciale, composto da una parte fissa di base e una parte variabile legata a KPI di vendita, con meccanismi di accelerazione per overperformance e meccanismi di tutela per l'azienda (clawback).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Per ruoli di vendita diretta: Account Executive, Business Developer, Sales Manager, Channel Manager. Per ruoli adiacenti (pre-sales, customer success) il piano va calibrato diversamente perché i KPI rilevanti sono altri.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la OTE (On Target Earnings): retribuzione totale al raggiungimento del 100% degli obiettivi. È il numero che il candidato porta a casa quando il piano funziona come previsto.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Mix base/variabile: 50/50 per ruoli AE senior, 60/40 o 70/30 per ruoli con vendita più consultiva o ciclo lungo. Più la vendita è transazionale, più alto è il variabile.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Quota annuale: tipicamente 4-6x la OTE, in % di nuovo ricavo. La quota deve essere ambiziosa ma raggiungibile dal 60-70% del team.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Acceleratori: meccanismo che aumenta la % di provvigione sopra il target (es. 1.5x da 100% a 120%, 2x oltre 120%). Spinge le persone migliori a non fermarsi al target.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Cap o no cap: scelta strategica. Cap protegge il P&amp;L su deal anomali; no cap massimizza spinta commerciale. La maggior parte delle aziende SaaS B2B sceglie no cap, almeno sulla quota base.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Clawback: meccanismo di restituzione provvigione se il cliente cancella entro X mesi. Indispensabile per modelli SaaS.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Frequenza di pagamento: trimestrale è lo standard per accelerare il loop di feedback, con regolazione di fine anno.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Account Executive software B2B in PMI italiana SaaS.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00"/>
      </w:tblGrid>
      <w:tr>
        <w:trPr>
          <w:tblHeader/>
        </w:trP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Componente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Base annua (RAL)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50.000 €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Variabile target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40.000 €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OTE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90.000 €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Quota annuale (new ARR)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400.000 €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Provvigione base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10% del new ARR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Acceleratore 100–120% quota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15% del new ARR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Acceleratore oltre 120%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20% del new ARR</w:t>
            </w:r>
          </w:p>
        </w:tc>
      </w:tr>
      <w:tr>
        <w:tc>
          <w:tcPr>
            <w:tcW w:type="dxa" w:w="5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Clawback</w:t>
            </w:r>
          </w:p>
        </w:tc>
        <w:tc>
          <w:tcPr>
            <w:tcW w:type="dxa" w:w="4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100% se churn entro 6 mesi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Esempio di payout su 480.000 € chiusi: 400.000 al 10% (40.000 €) + 80.000 al 15% (12.000 €) = 52.000 € di variabile. OTE realizzata: 102.000 €.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Piano troppo complesso: se il commerciale non sa come massimizzare il suo payout, il piano ha fallito.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Cambio di piano in corso d'anno: distrugge la fiducia e crea l'aspettativa di future modifiche unilaterali.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Quote calibrate male: troppo aggressive (nessuno arriva al target) o troppo basse (tutti accelerano a basso costo).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Nessun clawback su modelli ricorrenti: si pagano commissioni su clienti che cancellano subito.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Mancanza di SPIFF (incentivi spot): si perde la flessibilità di spingere prodotti o segmenti strategici.</w:t>
      </w:r>
    </w:p>
    <w:p>
      <w:pPr>
        <w:pStyle w:val="Heading2"/>
        <w:pageBreakBefore/>
        <w:spacing w:after="180" w:before="360"/>
      </w:pPr>
      <w:r>
        <w:rPr>
          <w:color w:val="1A4D7A"/>
        </w:rPr>
        <w:t xml:space="preserve">8. Retribuzione e geografia (remote / multi-sede)</w:t>
      </w:r>
    </w:p>
    <w:p>
      <w:pPr>
        <w:pBdr>
          <w:top w:val="single" w:color="E8EEF4" w:sz="4" w:space="8"/>
          <w:left w:val="single" w:color="1A4D7A" w:sz="24" w:space="8"/>
          <w:bottom w:val="single" w:color="E8EEF4" w:sz="4" w:space="8"/>
          <w:right w:val="single" w:color="E8EEF4" w:sz="4" w:space="8"/>
        </w:pBdr>
        <w:shd w:fill="E8EEF4" w:val="clear"/>
        <w:spacing w:after="240" w:before="120" w:line="300"/>
      </w:pPr>
      <w:r>
        <w:rPr>
          <w:b/>
          <w:bCs/>
          <w:color w:val="1A4D7A"/>
        </w:rPr>
        <w:t xml:space="preserve">In sintesi. </w:t>
      </w:r>
      <w:r>
        <w:t xml:space="preserve">Definizione di come la retribuzione varia (o non varia) in funzione della geografia del dipendente: stessa banda per tutti, oppure banda modulata da un fattore geografico. Tema rilevante per aziende con remote o team multi-sede su geografie con costo della vita diverso.</w:t>
      </w:r>
    </w:p>
    <w:p>
      <w:pPr>
        <w:pStyle w:val="Heading3"/>
        <w:spacing w:after="120" w:before="280"/>
      </w:pPr>
      <w:r>
        <w:t xml:space="preserve">Quando usarla</w:t>
      </w:r>
    </w:p>
    <w:p>
      <w:pPr>
        <w:spacing w:after="120" w:line="300"/>
      </w:pPr>
      <w:r>
        <w:t xml:space="preserve">Per ogni azienda che abbia almeno una di queste situazioni: assunzioni remote da geografie diverse dalla sede; più sedi italiane o europee; intenzione di assumere all'estero. Diventa un problema soprattutto quando il differenziale geografico è ampio (Milano vs estero, Italia vs paesi a basso costo).</w:t>
      </w:r>
    </w:p>
    <w:p>
      <w:pPr>
        <w:pStyle w:val="Heading3"/>
        <w:spacing w:after="120" w:before="280"/>
      </w:pPr>
      <w:r>
        <w:t xml:space="preserve">Due approcci principali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A. Location-agnostic</w:t>
      </w:r>
    </w:p>
    <w:p>
      <w:pPr>
        <w:spacing w:after="120" w:line="300"/>
      </w:pPr>
      <w:r>
        <w:t xml:space="preserve">Stessa banda retributiva per lo stesso ruolo, indipendentemente dalla sede del dipendente.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Pro: semplicità di gestione, percezione di fairness, posizionamento attrattivo in geografie a basso costo.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Contro: in geografie a basso costo si paga sopra mercato (vantaggio competitivo costoso); in geografie ad alto costo si paga sotto mercato (difficoltà di hire).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B. Location-based (location factor)</w:t>
      </w:r>
    </w:p>
    <w:p>
      <w:pPr>
        <w:spacing w:after="120" w:line="300"/>
      </w:pPr>
      <w:r>
        <w:t xml:space="preserve">Banda base modulata da un fattore moltiplicativo per area geografica.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Pro: allineamento al mercato locale, sostenibilità su scala internazionale.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Contro: contestabile sul piano della percezione ("perché il mio lavoro vale meno se vivo qui?"), complesso da gestire e comunicare.</w:t>
      </w:r>
    </w:p>
    <w:p>
      <w:pPr>
        <w:pStyle w:val="Heading3"/>
        <w:spacing w:after="120" w:before="280"/>
      </w:pPr>
      <w:r>
        <w:t xml:space="preserve">Come strutturarla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Scegliere esplicitamente l'approccio. Non sceglierlo significa averne uno implicito, peggiore.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Se location-based: definire il fattore in modo trasparente, ancorato a dati pubblici (costo della vita, mediana salariale del paese).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Possibile via di mezzo: stessa banda per tutta l'Italia, location factor solo per estero.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Comunicare l'approccio prima dell'assunzione, non dopo: cambiarlo retroattivamente è impossibile.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Definire cosa succede se un dipendente si trasferisce: rivalutazione, congelamento, o nessun adeguamento.</w:t>
      </w:r>
    </w:p>
    <w:p>
      <w:pPr>
        <w:pStyle w:val="Heading3"/>
        <w:spacing w:after="120" w:before="280"/>
      </w:pPr>
      <w:r>
        <w:t xml:space="preserve">Esempio concreto</w:t>
      </w:r>
    </w:p>
    <w:p>
      <w:pPr>
        <w:spacing w:after="120" w:line="300"/>
      </w:pPr>
      <w:r>
        <w:t xml:space="preserve">PMI italiana 100 persone, sviluppo software, mix di sedi Milano + sud Italia + remote da estero. Approccio ibrido.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1900"/>
        <w:gridCol w:w="3800"/>
      </w:tblGrid>
      <w:tr>
        <w:trPr>
          <w:tblHeader/>
        </w:trPr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Area geografica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Location factor</w:t>
            </w:r>
          </w:p>
        </w:tc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4D7A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Banda L3 Senior (RAL)</w:t>
            </w:r>
          </w:p>
        </w:tc>
      </w:tr>
      <w:tr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Italia (tutto il territorio)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48.000 – 68.000 €</w:t>
            </w:r>
          </w:p>
        </w:tc>
      </w:tr>
      <w:tr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UE area costo medio-basso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0.85</w:t>
            </w:r>
          </w:p>
        </w:tc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41.000 – 58.000 €</w:t>
            </w:r>
          </w:p>
        </w:tc>
      </w:tr>
      <w:tr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Extra UE area basso costo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0.70</w:t>
            </w:r>
          </w:p>
        </w:tc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34.000 – 48.000 €</w:t>
            </w:r>
          </w:p>
        </w:tc>
      </w:tr>
      <w:tr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Capitali europee ad alto costo</w:t>
            </w:r>
          </w:p>
        </w:tc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1.10</w:t>
            </w:r>
          </w:p>
        </w:tc>
        <w:tc>
          <w:tcPr>
            <w:tcW w:type="dxa" w:w="3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sz w:val="20"/>
                <w:szCs w:val="20"/>
              </w:rPr>
              <w:t xml:space="preserve">53.000 – 75.000 €</w:t>
            </w:r>
          </w:p>
        </w:tc>
      </w:tr>
    </w:tbl>
    <w:p>
      <w:pPr>
        <w:spacing w:after="120" w:before="100"/>
      </w:pPr>
      <w:r>
        <w:rPr>
          <w:i/>
          <w:iCs/>
          <w:color w:val="555555"/>
          <w:sz w:val="20"/>
          <w:szCs w:val="20"/>
        </w:rPr>
        <w:t xml:space="preserve">Scelta: nessun differenziale interno all'Italia (Milano = Bari), differenziale solo all'estero. Riduce il numero di conversazioni difficili e mantiene fair play tra colleghi italiani.</w:t>
      </w:r>
    </w:p>
    <w:p>
      <w:pPr>
        <w:pStyle w:val="Heading3"/>
        <w:spacing w:after="120" w:before="280"/>
      </w:pPr>
      <w:r>
        <w:t xml:space="preserve">Errori da evitare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Adottare un location factor e non comunicarne i criteri: percepito come arbitrio.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Cambiare l'approccio a metà anno per nuovi assunti: genera tensione con i già presenti.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Trascurare il fattore percettivo: anche un approccio ragionato genera attriti se non spiegato bene.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t xml:space="preserve">Non aggiornare i location factor con i dati di mercato: in pochi anni diventano fuori scala.</w:t>
      </w:r>
    </w:p>
    <w:p>
      <w:pPr>
        <w:pStyle w:val="Heading1"/>
        <w:pageBreakBefore/>
        <w:spacing w:after="200"/>
      </w:pPr>
      <w:r>
        <w:t xml:space="preserve">Come combinare le 8 policy</w:t>
      </w:r>
    </w:p>
    <w:p>
      <w:pPr>
        <w:spacing w:after="120" w:line="300"/>
      </w:pPr>
      <w:r>
        <w:t xml:space="preserve">Le 8 policy non sono alternative tra loro: sono componenti di un sistema. Una policy retributiva matura combina diversi modelli: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Una struttura base — sempre. </w:t>
      </w:r>
      <w:r>
        <w:t xml:space="preserve">Fasce per ruolo e livello (policy 1). Senza questa, le altre non hanno un riferimento.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Un meccanismo di crescita — sempre. </w:t>
      </w:r>
      <w:r>
        <w:t xml:space="preserve">Aumenti per merito (policy 3) o skill-based (policy 4), o entrambi calibrati su ruoli diversi.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Un componente variabile — quasi sempre. </w:t>
      </w:r>
      <w:r>
        <w:t xml:space="preserve">MBO per management (policy 2), commission per sales (policy 7).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Un layer di benefit — sempre, per PMI italiane. </w:t>
      </w:r>
      <w:r>
        <w:t xml:space="preserve">Welfare aziendale (policy 5). Il vantaggio fiscale è strutturale e non sfruttarlo è una scelta costosa.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Un livello di trasparenza — progressivamente obbligatorio. </w:t>
      </w:r>
      <w:r>
        <w:t xml:space="preserve">Chiarezza su bande e criteri (policy 6), con l'orizzonte della direttiva UE 2023/970.</w:t>
      </w:r>
    </w:p>
    <w:p>
      <w:pPr>
        <w:pStyle w:val="ListParagraph"/>
        <w:numPr>
          <w:ilvl w:val="0"/>
          <w:numId w:val="2"/>
        </w:numPr>
        <w:spacing w:after="80" w:line="290"/>
      </w:pPr>
      <w:r>
        <w:rPr>
          <w:b/>
          <w:bCs/>
        </w:rPr>
        <w:t xml:space="preserve">Una scelta geografica — se l'azienda è distribuita. </w:t>
      </w:r>
      <w:r>
        <w:t xml:space="preserve">Location-based o location-agnostic (policy 8), esplicitata prima e non dopo.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Sette domande per fare un check sulla tua policy attuale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Abbiamo livelli organizzativi formalizzati, e ogni ruolo è mappato a un livello?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Le nostre bande retributive sono allineate ai dati di mercato del nostro settore?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Il variabile è collegato a KPI misurabili e comunicati a inizio anno?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Stiamo sfruttando il vantaggio fiscale del welfare aziendale?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Le bande sono comunicate ai dipendenti, o circolano solo per voci di corridoio?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Abbiamo un sistema di performance management che alimenta in modo coerente gli aumenti?</w:t>
      </w:r>
    </w:p>
    <w:p>
      <w:pPr>
        <w:pStyle w:val="ListParagraph"/>
        <w:numPr>
          <w:ilvl w:val="0"/>
          <w:numId w:val="3"/>
        </w:numPr>
        <w:spacing w:after="160"/>
      </w:pPr>
      <w:r>
        <w:t xml:space="preserve">La policy è scritta, condivisa con i manager, e applicata in modo coerente caso per caso?</w:t>
      </w:r>
    </w:p>
    <w:p>
      <w:pPr>
        <w:spacing w:after="120" w:line="300"/>
      </w:pPr>
      <w:r>
        <w:t xml:space="preserve">Se le risposte sì sono meno di quattro, è il momento di prendere in mano il sistema. Non per aggiungere burocrazia: per smettere di accumulare debito retributivo invisibile.</w:t>
      </w:r>
    </w:p>
    <w:p>
      <w:pPr>
        <w:pStyle w:val="Heading1"/>
        <w:pageBreakBefore/>
        <w:spacing w:after="200"/>
      </w:pPr>
      <w:r>
        <w:t xml:space="preserve">Chi siamo</w:t>
      </w:r>
    </w:p>
    <w:p>
      <w:pPr>
        <w:spacing w:after="120" w:line="300"/>
      </w:pPr>
      <w:r>
        <w:t xml:space="preserve">Spark è una piattaforma HR modulare per PMI italiane. Offriamo software per performance management, MBO e OKR, gestione delle competenze, formazione e clima aziendale, integrato con consulenza metodologica su misura.</w:t>
      </w:r>
    </w:p>
    <w:p>
      <w:pPr>
        <w:spacing w:after="120" w:line="300"/>
      </w:pPr>
      <w:r>
        <w:t xml:space="preserve">Aiutiamo le aziende a tradurre principi di retribuzione e performance in processi operativi, eseguibili e misurabili. Il nostro lavoro inizia dove finiscono i framework: nell'esecuzione concreta, settimana dopo settimana.</w:t>
      </w:r>
    </w:p>
    <w:p>
      <w:pPr>
        <w:spacing w:after="160" w:before="60" w:line="320"/>
      </w:pPr>
      <w:r>
        <w:t xml:space="preserve"> </w:t>
      </w:r>
    </w:p>
    <w:p>
      <w:pPr>
        <w:spacing w:after="80"/>
      </w:pPr>
      <w:r>
        <w:rPr>
          <w:sz w:val="22"/>
          <w:szCs w:val="22"/>
        </w:rPr>
        <w:t xml:space="preserve">Per parlare con il nostro team: </w:t>
      </w:r>
      <w:hyperlink w:history="1" r:id="rIdejqw2kww1otfhwfh3p4p_">
        <w:r>
          <w:rPr>
            <w:rStyle w:val="Hyperlink"/>
            <w:sz w:val="22"/>
            <w:szCs w:val="22"/>
          </w:rPr>
          <w:t xml:space="preserve">tryspark.co</w:t>
        </w:r>
      </w:hyperlink>
    </w:p>
    <w:p>
      <w:pPr>
        <w:pBdr>
          <w:top w:val="single" w:color="BFBFBF" w:sz="4" w:space="8"/>
        </w:pBdr>
        <w:spacing w:after="0" w:before="240"/>
      </w:pPr>
      <w:r>
        <w:rPr>
          <w:i/>
          <w:iCs/>
          <w:color w:val="555555"/>
          <w:sz w:val="18"/>
          <w:szCs w:val="18"/>
        </w:rPr>
        <w:t xml:space="preserve">© 2026 Spark. Documento informativo. Non costituisce consulenza fiscale, legale o giuslavoristica.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color w:val="555555"/>
        <w:sz w:val="16"/>
        <w:szCs w:val="16"/>
      </w:rPr>
      <w:t xml:space="preserve">Spark — tryspark.co  • 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color w:val="555555"/>
        <w:sz w:val="16"/>
        <w:szCs w:val="16"/>
      </w:rPr>
      <w:t xml:space="preserve">8 esempi di policy retributive — Guida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80"/>
      <w:outlineLvl w:val="0"/>
    </w:pPr>
    <w:rPr>
      <w:rFonts w:ascii="Arial" w:cs="Arial" w:eastAsia="Arial" w:hAnsi="Arial"/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1A4D7A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00" w:before="240"/>
      <w:outlineLvl w:val="2"/>
    </w:pPr>
    <w:rPr>
      <w:rFonts w:ascii="Arial" w:cs="Arial" w:eastAsia="Arial" w:hAnsi="Arial"/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ejqw2kww1otfhwfh3p4p_" Type="http://schemas.openxmlformats.org/officeDocument/2006/relationships/hyperlink" Target="https://tryspark.co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esempi di policy retributive - Guida 2026</dc:title>
  <dc:creator>Spark</dc:creator>
  <dc:description>Guida operativa per PMI italiane</dc:description>
  <cp:lastModifiedBy>Un-named</cp:lastModifiedBy>
  <cp:revision>1</cp:revision>
  <dcterms:created xsi:type="dcterms:W3CDTF">2026-05-22T12:32:09.429Z</dcterms:created>
  <dcterms:modified xsi:type="dcterms:W3CDTF">2026-05-22T12:32:09.430Z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